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4.0" w:type="dxa"/>
        <w:jc w:val="left"/>
        <w:tblInd w:w="-130.0" w:type="dxa"/>
        <w:tblBorders>
          <w:top w:color="c0c0c0" w:space="0" w:sz="2" w:val="single"/>
          <w:left w:color="c0c0c0" w:space="0" w:sz="2" w:val="single"/>
          <w:bottom w:color="c0c0c0" w:space="0" w:sz="2" w:val="single"/>
          <w:right w:color="c0c0c0" w:space="0" w:sz="2" w:val="single"/>
          <w:insideH w:color="c0c0c0" w:space="0" w:sz="2" w:val="single"/>
          <w:insideV w:color="c0c0c0" w:space="0" w:sz="2" w:val="single"/>
        </w:tblBorders>
        <w:tblLayout w:type="fixed"/>
        <w:tblLook w:val="0000"/>
      </w:tblPr>
      <w:tblGrid>
        <w:gridCol w:w="10054"/>
        <w:tblGridChange w:id="0">
          <w:tblGrid>
            <w:gridCol w:w="100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b2b2b2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cccc" w:val="clear"/>
              <w:tabs>
                <w:tab w:val="left" w:pos="708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DE VALIDAÇÃO DE ATIVIDADES EXTRACURRICULARES</w:t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379"/>
        <w:gridCol w:w="1559"/>
        <w:gridCol w:w="1580"/>
        <w:tblGridChange w:id="0">
          <w:tblGrid>
            <w:gridCol w:w="6379"/>
            <w:gridCol w:w="1559"/>
            <w:gridCol w:w="15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CH.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MÍNIMA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2e5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CH. MÁXIMA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Presenciais (afins): cursos, seminários, simpósios, oficinas, congressos, conferências, fóruns, debates, palestras, jornadas científicas, disciplinas afins, eletivas ou cursadas em outros cursos e não aproveitadas na integralização do currículo. Apresentar documento comprobatório com registro de conteúdo, tipo de participação, carga horária, ano, local, data de início e fim, nome do evento, nome do aluno, nome da instituição promotora e assinaturas.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Até 80%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Cursos não-presenciais (afins): Apresentar documento comprobatório com registro de conteúdo, tipo de participação, carga horária, ano, local, data de início e fim, nome do evento, nome do aluno, nome da instituição promotora e assinaturas.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Até 80%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Monitoria em disciplinas do curso (afins): Apresentar documento comprobatório com registro da atividade, tipo de participação, carga horária, ano, local, data de início e fim, disciplina, nome do aluno, nome da instituição promotora e assinaturas.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Até 60%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Disciplinas concluídas pelo acadêmico, em cursos de graduação de Instituições de Ensino Superior credenciadas pelo MEC e não previstas na matriz curricular do curso, que sejam afins à área de formação.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10%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Até 60%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Projetos de pesquisa e extensão (afins): Apresentar documento comprobatório com registro da atividade, tipo de participação, carga horária, ano, local, data de início e fim, título da pesquisa ou da atividade de extensão, nome do aluno, nome da instituição promotora e assinaturas.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Até 60%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O acadêmico deve realizar no mínimo 120 horas em Atividades Complementares, dentre as atividades elencadas e conforme os critérios propostos acima. Contudo, isso não significa que precise cumprir obrigatoriamente atividades em todas as categorias supramencionados.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Os percentuais mencionados neste quadro têm como referencial as 120 horas.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3. Dentro de cada categoria, as atividades acima descritas podem ter suas cargas horárias somadas para que se alcance a porcentagem mínima ou máxima exigida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" w:cs="Times" w:eastAsia="Times" w:hAnsi="Time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" w:cs="Times" w:eastAsia="Times" w:hAnsi="Time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90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both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2660015</wp:posOffset>
          </wp:positionH>
          <wp:positionV relativeFrom="paragraph">
            <wp:posOffset>-490854</wp:posOffset>
          </wp:positionV>
          <wp:extent cx="803910" cy="5810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40" l="-253" r="-253" t="-240"/>
                  <a:stretch>
                    <a:fillRect/>
                  </a:stretch>
                </pic:blipFill>
                <pic:spPr>
                  <a:xfrm>
                    <a:off x="0" y="0"/>
                    <a:ext cx="803910" cy="581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                                                                        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Style w:val="Subtitle"/>
      <w:spacing w:after="0" w:before="0" w:lineRule="auto"/>
      <w:rPr>
        <w:rFonts w:ascii="Times New Roman" w:cs="Times New Roman" w:eastAsia="Times New Roman" w:hAnsi="Times New Roman"/>
        <w:i w:val="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i w:val="0"/>
        <w:sz w:val="18"/>
        <w:szCs w:val="18"/>
        <w:rtl w:val="0"/>
      </w:rPr>
      <w:t xml:space="preserve">MEC - SETEC</w:t>
    </w:r>
  </w:p>
  <w:p w:rsidR="00000000" w:rsidDel="00000000" w:rsidP="00000000" w:rsidRDefault="00000000" w:rsidRPr="00000000" w14:paraId="00000025">
    <w:pPr>
      <w:keepNext w:val="1"/>
      <w:keepLines w:val="0"/>
      <w:pageBreakBefore w:val="0"/>
      <w:widowControl w:val="0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center"/>
      <w:rPr>
        <w:b w:val="1"/>
        <w:i w:val="0"/>
        <w:smallCaps w:val="0"/>
        <w:strike w:val="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INSTITUTO FEDERAL DE EDUCAÇÃO, CIÊNCIA E TECNOLOGIA DE MATO GROSSO.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CAMPUS BARRA DO GARÇAS</w:t>
    </w:r>
  </w:p>
  <w:p w:rsidR="00000000" w:rsidDel="00000000" w:rsidP="00000000" w:rsidRDefault="00000000" w:rsidRPr="00000000" w14:paraId="00000027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GABINETE DO DIRETOR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cs="Noto Sans Symbols" w:eastAsia="Noto Sans Symbols" w:hAnsi="Noto Sans Symbols"/>
        <w:color w:val="000000"/>
        <w:sz w:val="22"/>
        <w:szCs w:val="22"/>
      </w:rPr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